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chiara-Colore5"/>
        <w:tblW w:w="307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1581"/>
        <w:gridCol w:w="1559"/>
        <w:gridCol w:w="1418"/>
        <w:gridCol w:w="1018"/>
        <w:gridCol w:w="824"/>
        <w:gridCol w:w="1276"/>
        <w:gridCol w:w="1033"/>
        <w:gridCol w:w="874"/>
        <w:gridCol w:w="993"/>
        <w:gridCol w:w="786"/>
        <w:gridCol w:w="1275"/>
        <w:gridCol w:w="1137"/>
        <w:gridCol w:w="318"/>
        <w:gridCol w:w="499"/>
        <w:gridCol w:w="1165"/>
        <w:gridCol w:w="910"/>
        <w:gridCol w:w="1074"/>
        <w:gridCol w:w="1701"/>
        <w:gridCol w:w="1275"/>
        <w:gridCol w:w="1843"/>
        <w:gridCol w:w="709"/>
        <w:gridCol w:w="709"/>
        <w:gridCol w:w="1276"/>
        <w:gridCol w:w="1279"/>
        <w:gridCol w:w="992"/>
        <w:gridCol w:w="993"/>
        <w:gridCol w:w="711"/>
        <w:gridCol w:w="992"/>
      </w:tblGrid>
      <w:tr w:rsidR="00C70BF4" w:rsidRPr="00644BA5" w:rsidTr="00F31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N.</w:t>
            </w:r>
          </w:p>
        </w:tc>
        <w:tc>
          <w:tcPr>
            <w:tcW w:w="1581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Denominazione del procedimento e descrizione sintetica</w:t>
            </w:r>
          </w:p>
        </w:tc>
        <w:tc>
          <w:tcPr>
            <w:tcW w:w="155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31C34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66799C">
              <w:rPr>
                <w:color w:val="17365D" w:themeColor="text2" w:themeShade="BF"/>
                <w:sz w:val="18"/>
                <w:szCs w:val="18"/>
              </w:rPr>
              <w:t>Normativa di riferimento</w:t>
            </w:r>
          </w:p>
          <w:p w:rsidR="00F31C34" w:rsidRPr="00F31C34" w:rsidRDefault="00F31C34" w:rsidP="00F31C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1C34" w:rsidRPr="00F31C34" w:rsidRDefault="00F31C34" w:rsidP="00F31C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1C34" w:rsidRPr="00F31C34" w:rsidRDefault="00F31C34" w:rsidP="00F31C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B4FD3" w:rsidRPr="00F31C34" w:rsidRDefault="009B4FD3" w:rsidP="00F31C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6799C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66799C">
              <w:rPr>
                <w:color w:val="17365D" w:themeColor="text2" w:themeShade="BF"/>
                <w:sz w:val="16"/>
                <w:szCs w:val="16"/>
              </w:rPr>
              <w:t>Unità Organizzativa Responsabile dell’istruttoria</w:t>
            </w:r>
          </w:p>
        </w:tc>
        <w:tc>
          <w:tcPr>
            <w:tcW w:w="3118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Responsabile del procedimento</w:t>
            </w:r>
          </w:p>
        </w:tc>
        <w:tc>
          <w:tcPr>
            <w:tcW w:w="2900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Ufficio competente all’adozione del provvedimento finale</w:t>
            </w:r>
          </w:p>
          <w:p w:rsidR="009B4FD3" w:rsidRPr="00F9197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F91973">
              <w:rPr>
                <w:b w:val="0"/>
                <w:i/>
                <w:color w:val="17365D" w:themeColor="text2" w:themeShade="BF"/>
                <w:sz w:val="18"/>
                <w:szCs w:val="18"/>
              </w:rPr>
              <w:t>Responsabile dell’Ufficio</w:t>
            </w:r>
          </w:p>
        </w:tc>
        <w:tc>
          <w:tcPr>
            <w:tcW w:w="3198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Modalità con le quali gli interessati possono ottenere le informazioni relative ai procedimenti in corso che li riguardino</w:t>
            </w:r>
          </w:p>
        </w:tc>
        <w:tc>
          <w:tcPr>
            <w:tcW w:w="3966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474040">
              <w:rPr>
                <w:color w:val="17365D" w:themeColor="text2" w:themeShade="BF"/>
                <w:sz w:val="18"/>
                <w:szCs w:val="18"/>
              </w:rPr>
              <w:t>Modalità di presentazione dell’istanza di parte o della SCIA/DIA</w:t>
            </w:r>
          </w:p>
        </w:tc>
        <w:tc>
          <w:tcPr>
            <w:tcW w:w="1701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Atti e documenti da allegare all’istanza e modulistica necessaria </w:t>
            </w:r>
          </w:p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i/>
                <w:color w:val="17365D" w:themeColor="text2" w:themeShade="BF"/>
                <w:sz w:val="17"/>
                <w:szCs w:val="17"/>
              </w:rPr>
              <w:t>(compresi</w:t>
            </w:r>
            <w:r>
              <w:rPr>
                <w:b w:val="0"/>
                <w:i/>
                <w:color w:val="17365D" w:themeColor="text2" w:themeShade="BF"/>
                <w:sz w:val="17"/>
                <w:szCs w:val="17"/>
              </w:rPr>
              <w:t xml:space="preserve"> fac simile </w:t>
            </w:r>
            <w:r w:rsidRPr="00343E7F">
              <w:rPr>
                <w:b w:val="0"/>
                <w:i/>
                <w:color w:val="17365D" w:themeColor="text2" w:themeShade="BF"/>
                <w:sz w:val="17"/>
                <w:szCs w:val="17"/>
              </w:rPr>
              <w:t>autocertificazione)</w:t>
            </w:r>
          </w:p>
        </w:tc>
        <w:tc>
          <w:tcPr>
            <w:tcW w:w="1275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Termine di conclusione del procedimento</w:t>
            </w:r>
          </w:p>
        </w:tc>
        <w:tc>
          <w:tcPr>
            <w:tcW w:w="1843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Procedimenti nei quali il provvedimento può essere sostituito da una dichiarazione dell’interessato</w:t>
            </w:r>
          </w:p>
        </w:tc>
        <w:tc>
          <w:tcPr>
            <w:tcW w:w="2694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Significato del silenzio alla scadenza del termine </w:t>
            </w:r>
          </w:p>
        </w:tc>
        <w:tc>
          <w:tcPr>
            <w:tcW w:w="127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F6239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4"/>
              </w:rPr>
            </w:pPr>
            <w:r w:rsidRPr="005F6239">
              <w:rPr>
                <w:color w:val="17365D" w:themeColor="text2" w:themeShade="BF"/>
                <w:sz w:val="14"/>
                <w:szCs w:val="14"/>
              </w:rPr>
              <w:t xml:space="preserve">Strumenti di tutela amministrativa e giurisdizionale </w:t>
            </w:r>
          </w:p>
        </w:tc>
        <w:tc>
          <w:tcPr>
            <w:tcW w:w="992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F6239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4"/>
              </w:rPr>
            </w:pPr>
            <w:r w:rsidRPr="005F6239">
              <w:rPr>
                <w:color w:val="17365D" w:themeColor="text2" w:themeShade="BF"/>
                <w:sz w:val="14"/>
                <w:szCs w:val="14"/>
              </w:rPr>
              <w:t>Modalità per effettuare pagamenti eventualmente necessari</w:t>
            </w:r>
          </w:p>
        </w:tc>
        <w:tc>
          <w:tcPr>
            <w:tcW w:w="2696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Soggetto munito del potere sostitutivo in caso di inerzia</w:t>
            </w:r>
          </w:p>
        </w:tc>
      </w:tr>
      <w:tr w:rsidR="00C70BF4" w:rsidRPr="00644BA5" w:rsidTr="00F31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6799C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82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103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87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99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78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1275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1137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i/>
                <w:color w:val="17365D" w:themeColor="text2" w:themeShade="BF"/>
                <w:sz w:val="17"/>
                <w:szCs w:val="17"/>
              </w:rPr>
              <w:t>Ricevimento del pubblico</w:t>
            </w:r>
          </w:p>
        </w:tc>
        <w:tc>
          <w:tcPr>
            <w:tcW w:w="31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Pec</w:t>
            </w:r>
          </w:p>
        </w:tc>
        <w:tc>
          <w:tcPr>
            <w:tcW w:w="49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Fax</w:t>
            </w:r>
          </w:p>
        </w:tc>
        <w:tc>
          <w:tcPr>
            <w:tcW w:w="1165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ind w:left="-77" w:right="-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Presentazione diretta</w:t>
            </w:r>
          </w:p>
        </w:tc>
        <w:tc>
          <w:tcPr>
            <w:tcW w:w="910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A mezzo servizio postale</w:t>
            </w:r>
          </w:p>
        </w:tc>
        <w:tc>
          <w:tcPr>
            <w:tcW w:w="107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i/>
                <w:color w:val="17365D" w:themeColor="text2" w:themeShade="BF"/>
                <w:sz w:val="17"/>
                <w:szCs w:val="17"/>
              </w:rPr>
              <w:t xml:space="preserve">Altro </w:t>
            </w:r>
            <w:r w:rsidRPr="00BC1951">
              <w:rPr>
                <w:b w:val="0"/>
                <w:i/>
                <w:color w:val="17365D" w:themeColor="text2" w:themeShade="BF"/>
                <w:sz w:val="16"/>
                <w:szCs w:val="16"/>
              </w:rPr>
              <w:t>(specificare)</w:t>
            </w:r>
          </w:p>
        </w:tc>
        <w:tc>
          <w:tcPr>
            <w:tcW w:w="1701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A</w:t>
            </w: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ssenso</w:t>
            </w: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Rigetto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31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Inadempimento</w:t>
            </w:r>
          </w:p>
        </w:tc>
        <w:tc>
          <w:tcPr>
            <w:tcW w:w="1279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Nome e Cognome</w:t>
            </w:r>
          </w:p>
        </w:tc>
        <w:tc>
          <w:tcPr>
            <w:tcW w:w="711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992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</w:tr>
      <w:tr w:rsidR="00C70BF4" w:rsidRPr="00BC1951" w:rsidTr="00F31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2A1B8C" w:rsidRDefault="00B376D6" w:rsidP="00B376D6">
            <w:pPr>
              <w:jc w:val="center"/>
              <w:rPr>
                <w:rFonts w:ascii="Calibri" w:hAnsi="Calibri"/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2A1B8C" w:rsidRDefault="00C10972" w:rsidP="00C10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2A1B8C">
              <w:rPr>
                <w:rFonts w:cstheme="minorHAnsi"/>
                <w:i/>
                <w:sz w:val="18"/>
                <w:szCs w:val="20"/>
              </w:rPr>
              <w:t xml:space="preserve">Autorizzazione  </w:t>
            </w:r>
            <w:r w:rsidR="00B376D6" w:rsidRPr="002A1B8C">
              <w:rPr>
                <w:rFonts w:cstheme="minorHAnsi"/>
                <w:i/>
                <w:sz w:val="18"/>
                <w:szCs w:val="20"/>
              </w:rPr>
              <w:t>partecipazione a corsi esterni</w:t>
            </w: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2A1B8C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</w:pPr>
            <w:r w:rsidRPr="002A1B8C"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  <w:t xml:space="preserve">art. 33 del CCNL del 5.12.96 per il personale della dirigenza medica e veterinaria, </w:t>
            </w:r>
          </w:p>
          <w:p w:rsidR="00B376D6" w:rsidRPr="002A1B8C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</w:pPr>
            <w:r w:rsidRPr="002A1B8C"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  <w:t>art. 23, 3° comma CCNL dell’area della dirigenza medico – veterinaria, 2002/2005</w:t>
            </w:r>
          </w:p>
          <w:p w:rsidR="00B376D6" w:rsidRPr="002A1B8C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</w:pPr>
            <w:r w:rsidRPr="002A1B8C"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  <w:t>art.32 del CCNL del 5.12.96 per il personale della dirigenza sanitaria, professionale, tecnica ed amministrativa</w:t>
            </w:r>
          </w:p>
          <w:p w:rsidR="00B376D6" w:rsidRPr="002A1B8C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</w:pPr>
            <w:r w:rsidRPr="002A1B8C"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  <w:t>art. 23, 3° comma CCNL dell'area della dirigenza dei ruoli sanitario, professionale, tecnico ed amministrativo, 2002/2005</w:t>
            </w:r>
            <w:r w:rsidRPr="002A1B8C">
              <w:rPr>
                <w:i/>
              </w:rPr>
              <w:t xml:space="preserve"> </w:t>
            </w:r>
            <w:r w:rsidRPr="002A1B8C"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  <w:t>–</w:t>
            </w:r>
          </w:p>
          <w:p w:rsidR="00B376D6" w:rsidRPr="002A1B8C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</w:pPr>
            <w:r w:rsidRPr="002A1B8C"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  <w:t>art. 29, del CCNL dell’area del Comparto Sanità del 7 04 1999</w:t>
            </w:r>
          </w:p>
          <w:p w:rsidR="00B376D6" w:rsidRPr="002A1B8C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</w:pPr>
            <w:r w:rsidRPr="002A1B8C"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  <w:t>art. 20, 2° comma, CCNL dell’area del Comparto Sanità, 2002/2005</w:t>
            </w:r>
          </w:p>
          <w:p w:rsidR="00B376D6" w:rsidRPr="002A1B8C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</w:pPr>
            <w:r w:rsidRPr="002A1B8C"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  <w:t>D.L.vo 30 marzo 2001, n.165, coordinato ed aggiornato alle modifiche del d.lgs. 27 ottobre 2009, n. 150 di attuazione della legge 4 marzo 2009 n. 15</w:t>
            </w:r>
          </w:p>
          <w:p w:rsidR="00B376D6" w:rsidRPr="002A1B8C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</w:pPr>
            <w:r w:rsidRPr="002A1B8C">
              <w:rPr>
                <w:rFonts w:ascii="Calibri" w:hAnsi="Calibri"/>
                <w:b w:val="0"/>
                <w:i/>
                <w:color w:val="17365D" w:themeColor="text2" w:themeShade="BF"/>
                <w:sz w:val="14"/>
                <w:szCs w:val="14"/>
              </w:rPr>
              <w:t xml:space="preserve">Regolamento per la Formazione e Aggiornamento Professionale </w:t>
            </w:r>
          </w:p>
        </w:tc>
        <w:tc>
          <w:tcPr>
            <w:tcW w:w="141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2A1B8C" w:rsidRDefault="00B376D6" w:rsidP="00B51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2A1B8C">
              <w:rPr>
                <w:rFonts w:ascii="Calibri" w:hAnsi="Calibri"/>
                <w:b w:val="0"/>
                <w:i/>
                <w:color w:val="17365D" w:themeColor="text2" w:themeShade="BF"/>
                <w:sz w:val="18"/>
                <w:szCs w:val="18"/>
              </w:rPr>
              <w:t>Daniela Casalena</w:t>
            </w:r>
          </w:p>
        </w:tc>
        <w:tc>
          <w:tcPr>
            <w:tcW w:w="101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2A1B8C" w:rsidRDefault="00B376D6" w:rsidP="00B51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sz w:val="16"/>
                <w:szCs w:val="16"/>
              </w:rPr>
            </w:pPr>
            <w:r w:rsidRPr="002A1B8C">
              <w:rPr>
                <w:rFonts w:ascii="Calibri" w:hAnsi="Calibri"/>
                <w:b w:val="0"/>
                <w:i/>
                <w:sz w:val="16"/>
                <w:szCs w:val="16"/>
              </w:rPr>
              <w:t>Daniela Casalena</w:t>
            </w:r>
          </w:p>
        </w:tc>
        <w:tc>
          <w:tcPr>
            <w:tcW w:w="82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</w:rPr>
            </w:pPr>
            <w:r w:rsidRPr="0066799C">
              <w:rPr>
                <w:rFonts w:ascii="Calibri" w:hAnsi="Calibri"/>
                <w:b w:val="0"/>
                <w:sz w:val="16"/>
                <w:szCs w:val="16"/>
              </w:rPr>
              <w:t>Daniela Casalena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66799C">
              <w:rPr>
                <w:b w:val="0"/>
                <w:color w:val="17365D" w:themeColor="text2" w:themeShade="BF"/>
                <w:sz w:val="16"/>
                <w:szCs w:val="16"/>
              </w:rPr>
              <w:t xml:space="preserve">0861 </w:t>
            </w:r>
          </w:p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6"/>
                <w:szCs w:val="16"/>
              </w:rPr>
            </w:pPr>
            <w:r w:rsidRPr="0066799C">
              <w:rPr>
                <w:b w:val="0"/>
                <w:color w:val="17365D" w:themeColor="text2" w:themeShade="BF"/>
                <w:sz w:val="16"/>
                <w:szCs w:val="16"/>
              </w:rPr>
              <w:t>420256</w:t>
            </w:r>
          </w:p>
        </w:tc>
        <w:tc>
          <w:tcPr>
            <w:tcW w:w="103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376D6" w:rsidRPr="0066799C" w:rsidRDefault="000402E9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  <w:hyperlink r:id="rId8" w:history="1">
              <w:r w:rsidR="00B376D6" w:rsidRPr="00797D84">
                <w:rPr>
                  <w:rStyle w:val="Collegamentoipertestuale"/>
                  <w:rFonts w:ascii="Cambria" w:hAnsi="Cambria"/>
                  <w:sz w:val="13"/>
                  <w:szCs w:val="13"/>
                </w:rPr>
                <w:t>daniela.casalena@aslteramo.it</w:t>
              </w:r>
            </w:hyperlink>
          </w:p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Santarelli Franco</w:t>
            </w:r>
          </w:p>
        </w:tc>
        <w:tc>
          <w:tcPr>
            <w:tcW w:w="99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0861 420223</w:t>
            </w:r>
          </w:p>
        </w:tc>
        <w:tc>
          <w:tcPr>
            <w:tcW w:w="78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4B09B4" w:rsidRDefault="000402E9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6"/>
                <w:szCs w:val="16"/>
              </w:rPr>
            </w:pPr>
            <w:hyperlink r:id="rId9" w:history="1">
              <w:r w:rsidR="00F31C34" w:rsidRPr="00BA3069">
                <w:rPr>
                  <w:rStyle w:val="Collegamentoipertestuale"/>
                  <w:sz w:val="13"/>
                  <w:szCs w:val="13"/>
                </w:rPr>
                <w:t>franco.santarelli@aslteramo.it</w:t>
              </w:r>
            </w:hyperlink>
            <w:r w:rsidR="00F31C34">
              <w:rPr>
                <w:rStyle w:val="Collegamentoipertestuale"/>
                <w:sz w:val="13"/>
                <w:szCs w:val="13"/>
              </w:rPr>
              <w:t xml:space="preserve">                     </w:t>
            </w:r>
          </w:p>
        </w:tc>
        <w:tc>
          <w:tcPr>
            <w:tcW w:w="127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4"/>
              </w:rPr>
            </w:pPr>
            <w:r w:rsidRPr="0066799C">
              <w:rPr>
                <w:b w:val="0"/>
                <w:color w:val="17365D" w:themeColor="text2" w:themeShade="BF"/>
                <w:sz w:val="14"/>
                <w:szCs w:val="14"/>
              </w:rPr>
              <w:t xml:space="preserve">0861 </w:t>
            </w:r>
          </w:p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4"/>
                <w:szCs w:val="14"/>
              </w:rPr>
            </w:pPr>
            <w:r w:rsidRPr="0066799C">
              <w:rPr>
                <w:b w:val="0"/>
                <w:color w:val="17365D" w:themeColor="text2" w:themeShade="BF"/>
                <w:sz w:val="14"/>
                <w:szCs w:val="14"/>
              </w:rPr>
              <w:t>420256</w:t>
            </w:r>
          </w:p>
        </w:tc>
        <w:tc>
          <w:tcPr>
            <w:tcW w:w="1137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</w:p>
          <w:p w:rsidR="00B376D6" w:rsidRPr="0066799C" w:rsidRDefault="000402E9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  <w:hyperlink r:id="rId10" w:history="1">
              <w:r w:rsidR="00B376D6" w:rsidRPr="0066799C">
                <w:rPr>
                  <w:rStyle w:val="Collegamentoipertestuale"/>
                  <w:rFonts w:ascii="Cambria" w:hAnsi="Cambria"/>
                  <w:sz w:val="13"/>
                  <w:szCs w:val="13"/>
                </w:rPr>
                <w:t>daniela.casalena@aslteramo.it</w:t>
              </w:r>
            </w:hyperlink>
          </w:p>
          <w:p w:rsidR="00B376D6" w:rsidRPr="0066799C" w:rsidRDefault="00B376D6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</w:p>
        </w:tc>
        <w:tc>
          <w:tcPr>
            <w:tcW w:w="49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</w:p>
        </w:tc>
        <w:tc>
          <w:tcPr>
            <w:tcW w:w="116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</w:p>
        </w:tc>
        <w:tc>
          <w:tcPr>
            <w:tcW w:w="91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07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Posta interna</w:t>
            </w:r>
          </w:p>
        </w:tc>
        <w:tc>
          <w:tcPr>
            <w:tcW w:w="170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Scheda progetto-</w:t>
            </w:r>
          </w:p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Programma evento formativo</w:t>
            </w:r>
          </w:p>
        </w:tc>
        <w:tc>
          <w:tcPr>
            <w:tcW w:w="127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30 giorni</w:t>
            </w: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294825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Non contemplato</w:t>
            </w: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</w:p>
        </w:tc>
        <w:tc>
          <w:tcPr>
            <w:tcW w:w="127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6"/>
                <w:szCs w:val="16"/>
              </w:rPr>
            </w:pPr>
            <w:r w:rsidRPr="00B376D6">
              <w:rPr>
                <w:rFonts w:ascii="Calibri" w:hAnsi="Calibri"/>
                <w:b w:val="0"/>
                <w:color w:val="17365D" w:themeColor="text2" w:themeShade="BF"/>
                <w:sz w:val="16"/>
                <w:szCs w:val="16"/>
              </w:rPr>
              <w:t>ricorso ammnistrativo/giurisdizionale</w:t>
            </w: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2A1B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6"/>
                <w:szCs w:val="16"/>
              </w:rPr>
            </w:pPr>
          </w:p>
        </w:tc>
      </w:tr>
    </w:tbl>
    <w:p w:rsidR="00492C26" w:rsidRDefault="00492C26" w:rsidP="002A1B8C">
      <w:bookmarkStart w:id="0" w:name="_GoBack"/>
      <w:bookmarkEnd w:id="0"/>
    </w:p>
    <w:sectPr w:rsidR="00492C26" w:rsidSect="00F31C34">
      <w:headerReference w:type="default" r:id="rId11"/>
      <w:footerReference w:type="default" r:id="rId12"/>
      <w:pgSz w:w="31639" w:h="12474" w:orient="landscape" w:code="258"/>
      <w:pgMar w:top="1964" w:right="680" w:bottom="1418" w:left="1134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E9" w:rsidRDefault="000402E9" w:rsidP="00492C26">
      <w:pPr>
        <w:spacing w:after="0" w:line="240" w:lineRule="auto"/>
      </w:pPr>
      <w:r>
        <w:separator/>
      </w:r>
    </w:p>
  </w:endnote>
  <w:endnote w:type="continuationSeparator" w:id="0">
    <w:p w:rsidR="000402E9" w:rsidRDefault="000402E9" w:rsidP="004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DC" w:rsidRDefault="006303DC" w:rsidP="002A1B8C">
    <w:pPr>
      <w:pStyle w:val="Pidipagina"/>
      <w:tabs>
        <w:tab w:val="clear" w:pos="4819"/>
        <w:tab w:val="clear" w:pos="9638"/>
        <w:tab w:val="right" w:pos="29825"/>
      </w:tabs>
    </w:pPr>
    <w:r>
      <w:fldChar w:fldCharType="begin"/>
    </w:r>
    <w:r>
      <w:instrText xml:space="preserve"> TIME \@ "d MMMM yyyy" </w:instrText>
    </w:r>
    <w:r>
      <w:fldChar w:fldCharType="separate"/>
    </w:r>
    <w:r w:rsidR="00C70BF4">
      <w:rPr>
        <w:noProof/>
      </w:rPr>
      <w:t>30 dicembre 2015</w:t>
    </w:r>
    <w:r>
      <w:fldChar w:fldCharType="end"/>
    </w:r>
    <w:r>
      <w:tab/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C70BF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E9" w:rsidRDefault="000402E9" w:rsidP="00492C26">
      <w:pPr>
        <w:spacing w:after="0" w:line="240" w:lineRule="auto"/>
      </w:pPr>
      <w:r>
        <w:separator/>
      </w:r>
    </w:p>
  </w:footnote>
  <w:footnote w:type="continuationSeparator" w:id="0">
    <w:p w:rsidR="000402E9" w:rsidRDefault="000402E9" w:rsidP="0049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92" w:rsidRDefault="000A545A" w:rsidP="002A1B8C">
    <w:pPr>
      <w:pStyle w:val="Intestazione"/>
      <w:rPr>
        <w:rFonts w:ascii="Cambria" w:hAnsi="Cambria"/>
        <w:b/>
        <w:caps/>
      </w:rPr>
    </w:pPr>
    <w:r>
      <w:rPr>
        <w:rFonts w:ascii="Cambria" w:hAnsi="Cambria"/>
        <w:b/>
        <w:caps/>
        <w:noProof/>
        <w:lang w:eastAsia="it-IT"/>
      </w:rPr>
      <w:drawing>
        <wp:inline distT="0" distB="0" distL="0" distR="0" wp14:anchorId="74BAADFA" wp14:editId="38B13486">
          <wp:extent cx="876300" cy="551517"/>
          <wp:effectExtent l="0" t="0" r="0" b="127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1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03DC" w:rsidRPr="00D60CFE" w:rsidRDefault="006303DC" w:rsidP="0044202E">
    <w:pPr>
      <w:pStyle w:val="Intestazione"/>
      <w:ind w:left="-426"/>
      <w:rPr>
        <w:rFonts w:ascii="Cambria" w:hAnsi="Cambria"/>
        <w:sz w:val="24"/>
        <w:szCs w:val="24"/>
      </w:rPr>
    </w:pPr>
    <w:r w:rsidRPr="00D60CFE">
      <w:rPr>
        <w:rFonts w:ascii="Cambria" w:hAnsi="Cambria"/>
        <w:caps/>
      </w:rPr>
      <w:t>Dipartimento/Coordinamento</w:t>
    </w:r>
    <w:r w:rsidR="000C7811">
      <w:rPr>
        <w:rFonts w:ascii="Cambria" w:hAnsi="Cambria"/>
      </w:rPr>
      <w:t xml:space="preserve"> </w:t>
    </w:r>
    <w:r w:rsidR="000C7811" w:rsidRPr="000C7811">
      <w:rPr>
        <w:rFonts w:ascii="Cambria" w:hAnsi="Cambria"/>
        <w:b/>
      </w:rPr>
      <w:t>COORDINAMENTO STAFF DI DIREZIONE</w:t>
    </w:r>
    <w:r w:rsidR="000C7811">
      <w:rPr>
        <w:rFonts w:ascii="Cambria" w:hAnsi="Cambria"/>
      </w:rPr>
      <w:t xml:space="preserve"> </w:t>
    </w:r>
    <w:r w:rsidRPr="00D60CFE">
      <w:rPr>
        <w:rFonts w:ascii="Cambria" w:hAnsi="Cambria"/>
      </w:rPr>
      <w:t>Unità Operativa</w:t>
    </w:r>
    <w:r w:rsidR="000C7811">
      <w:rPr>
        <w:rFonts w:ascii="Cambria" w:hAnsi="Cambria"/>
      </w:rPr>
      <w:t xml:space="preserve"> </w:t>
    </w:r>
    <w:r w:rsidR="00483E0C" w:rsidRPr="005E6425">
      <w:rPr>
        <w:rFonts w:ascii="Cambria" w:hAnsi="Cambria"/>
      </w:rPr>
      <w:t>Complessa</w:t>
    </w:r>
    <w:r w:rsidR="00483E0C">
      <w:rPr>
        <w:rFonts w:ascii="Cambria" w:hAnsi="Cambria"/>
      </w:rPr>
      <w:t xml:space="preserve"> </w:t>
    </w:r>
    <w:r w:rsidR="000C7811" w:rsidRPr="000C7811">
      <w:rPr>
        <w:rFonts w:ascii="Cambria" w:hAnsi="Cambria"/>
        <w:b/>
      </w:rPr>
      <w:t xml:space="preserve">Formazione, Aggiornamento e Qualità </w:t>
    </w:r>
    <w:r w:rsidRPr="00D60CFE">
      <w:rPr>
        <w:rFonts w:ascii="Cambria" w:hAnsi="Cambria"/>
      </w:rPr>
      <w:t>Direttore U.O.</w:t>
    </w:r>
    <w:r w:rsidR="00483E0C" w:rsidRPr="005E6425">
      <w:rPr>
        <w:rFonts w:ascii="Cambria" w:hAnsi="Cambria"/>
      </w:rPr>
      <w:t>C.</w:t>
    </w:r>
    <w:r w:rsidRPr="00D60CFE">
      <w:rPr>
        <w:rFonts w:ascii="Cambria" w:hAnsi="Cambria"/>
      </w:rPr>
      <w:t xml:space="preserve"> </w:t>
    </w:r>
    <w:r w:rsidR="000C7811" w:rsidRPr="000C7811">
      <w:rPr>
        <w:rFonts w:ascii="Cambria" w:hAnsi="Cambria"/>
        <w:b/>
      </w:rPr>
      <w:t>Dott. Franco Santarelli</w:t>
    </w:r>
    <w:r w:rsidR="000C7811">
      <w:rPr>
        <w:rFonts w:ascii="Cambria" w:hAnsi="Cambria"/>
      </w:rPr>
      <w:t xml:space="preserve"> </w:t>
    </w:r>
    <w:r w:rsidRPr="00D60CFE">
      <w:rPr>
        <w:rFonts w:ascii="Cambria" w:hAnsi="Cambria"/>
      </w:rPr>
      <w:t>/ Tel.</w:t>
    </w:r>
    <w:r w:rsidR="000C7811">
      <w:rPr>
        <w:rFonts w:ascii="Cambria" w:hAnsi="Cambria"/>
      </w:rPr>
      <w:t>0861 420223</w:t>
    </w:r>
    <w:r w:rsidRPr="00D60CFE">
      <w:rPr>
        <w:rFonts w:ascii="Cambria" w:hAnsi="Cambria"/>
      </w:rPr>
      <w:t>/ E-mail</w:t>
    </w:r>
    <w:r w:rsidRPr="00D60CFE">
      <w:rPr>
        <w:rFonts w:ascii="Cambria" w:hAnsi="Cambria"/>
        <w:sz w:val="24"/>
        <w:szCs w:val="24"/>
      </w:rPr>
      <w:t xml:space="preserve"> </w:t>
    </w:r>
    <w:hyperlink r:id="rId2" w:history="1">
      <w:r w:rsidR="000C7811" w:rsidRPr="00CA766E">
        <w:rPr>
          <w:rStyle w:val="Collegamentoipertestuale"/>
          <w:rFonts w:ascii="Cambria" w:hAnsi="Cambria"/>
          <w:sz w:val="24"/>
          <w:szCs w:val="24"/>
        </w:rPr>
        <w:t>franco.santarelli@aslteramo.it</w:t>
      </w:r>
    </w:hyperlink>
    <w:r w:rsidR="000C7811">
      <w:rPr>
        <w:rFonts w:ascii="Cambria" w:hAnsi="Cambria"/>
        <w:sz w:val="24"/>
        <w:szCs w:val="24"/>
      </w:rPr>
      <w:t xml:space="preserve"> </w:t>
    </w:r>
  </w:p>
  <w:p w:rsidR="00F31C34" w:rsidRDefault="007C17B0" w:rsidP="00F31C34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  <w:r>
      <w:rPr>
        <w:rFonts w:ascii="Cambria" w:hAnsi="Cambria"/>
        <w:b/>
        <w:caps/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7458A3" wp14:editId="3179542F">
              <wp:simplePos x="0" y="0"/>
              <wp:positionH relativeFrom="column">
                <wp:posOffset>-377190</wp:posOffset>
              </wp:positionH>
              <wp:positionV relativeFrom="paragraph">
                <wp:posOffset>62230</wp:posOffset>
              </wp:positionV>
              <wp:extent cx="3019425" cy="257175"/>
              <wp:effectExtent l="0" t="0" r="28575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9425" cy="257175"/>
                      </a:xfrm>
                      <a:prstGeom prst="rect">
                        <a:avLst/>
                      </a:prstGeom>
                      <a:solidFill>
                        <a:srgbClr val="F0F8FA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C17B0" w:rsidRPr="00100F06" w:rsidRDefault="00100F06" w:rsidP="007C17B0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 xml:space="preserve">PROCEDIMENTI </w:t>
                          </w:r>
                          <w:r w:rsidR="00474040"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AD ISTANZA DI PARTE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458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9.7pt;margin-top:4.9pt;width:237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" fillcolor="#f0f8fa" strokeweight=".5pt">
              <v:textbox>
                <w:txbxContent>
                  <w:p w:rsidR="007C17B0" w:rsidRPr="00100F06" w:rsidRDefault="00100F06" w:rsidP="007C17B0">
                    <w:pP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 xml:space="preserve">PROCEDIMENTI </w:t>
                    </w:r>
                    <w:r w:rsidR="00474040"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AD ISTANZA DI PARTE</w:t>
                    </w:r>
                  </w:p>
                </w:txbxContent>
              </v:textbox>
            </v:shape>
          </w:pict>
        </mc:Fallback>
      </mc:AlternateContent>
    </w:r>
  </w:p>
  <w:p w:rsidR="007C17B0" w:rsidRPr="00644BA5" w:rsidRDefault="007C17B0" w:rsidP="00F31C34">
    <w:pPr>
      <w:pStyle w:val="Intestazione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0E1"/>
    <w:multiLevelType w:val="hybridMultilevel"/>
    <w:tmpl w:val="671ABE3E"/>
    <w:lvl w:ilvl="0" w:tplc="E704334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7C73"/>
    <w:multiLevelType w:val="multilevel"/>
    <w:tmpl w:val="1DDC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196E3A"/>
    <w:multiLevelType w:val="multilevel"/>
    <w:tmpl w:val="C908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C51C5F"/>
    <w:multiLevelType w:val="hybridMultilevel"/>
    <w:tmpl w:val="3AB464C0"/>
    <w:lvl w:ilvl="0" w:tplc="82940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17CF5"/>
    <w:multiLevelType w:val="hybridMultilevel"/>
    <w:tmpl w:val="DC4E5610"/>
    <w:lvl w:ilvl="0" w:tplc="38F2178A">
      <w:start w:val="1"/>
      <w:numFmt w:val="decimal"/>
      <w:pStyle w:val="Titolo2"/>
      <w:lvlText w:val="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F72A12"/>
    <w:multiLevelType w:val="hybridMultilevel"/>
    <w:tmpl w:val="990E2E60"/>
    <w:lvl w:ilvl="0" w:tplc="93EE8B76">
      <w:start w:val="1"/>
      <w:numFmt w:val="decimal"/>
      <w:pStyle w:val="Titolo1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8"/>
    <w:rsid w:val="000037DB"/>
    <w:rsid w:val="00005358"/>
    <w:rsid w:val="00027B08"/>
    <w:rsid w:val="00037C9E"/>
    <w:rsid w:val="000402E9"/>
    <w:rsid w:val="000871CD"/>
    <w:rsid w:val="000A545A"/>
    <w:rsid w:val="000C7811"/>
    <w:rsid w:val="000E5E6B"/>
    <w:rsid w:val="00100F06"/>
    <w:rsid w:val="0015469B"/>
    <w:rsid w:val="00213DF8"/>
    <w:rsid w:val="002466F1"/>
    <w:rsid w:val="002A1B8C"/>
    <w:rsid w:val="0032671E"/>
    <w:rsid w:val="00326F5C"/>
    <w:rsid w:val="00343E7F"/>
    <w:rsid w:val="0038409F"/>
    <w:rsid w:val="003C3F84"/>
    <w:rsid w:val="003C68D9"/>
    <w:rsid w:val="004224D3"/>
    <w:rsid w:val="0044202E"/>
    <w:rsid w:val="00474040"/>
    <w:rsid w:val="00483E0C"/>
    <w:rsid w:val="00492C26"/>
    <w:rsid w:val="004977AC"/>
    <w:rsid w:val="004D0F92"/>
    <w:rsid w:val="005456AF"/>
    <w:rsid w:val="0056788D"/>
    <w:rsid w:val="0057568A"/>
    <w:rsid w:val="00597ED8"/>
    <w:rsid w:val="005A5F89"/>
    <w:rsid w:val="005E6425"/>
    <w:rsid w:val="005E6791"/>
    <w:rsid w:val="005F2563"/>
    <w:rsid w:val="005F5239"/>
    <w:rsid w:val="005F6239"/>
    <w:rsid w:val="006303DC"/>
    <w:rsid w:val="00644BA5"/>
    <w:rsid w:val="0066799C"/>
    <w:rsid w:val="006F5C98"/>
    <w:rsid w:val="006F6DA7"/>
    <w:rsid w:val="00773AB7"/>
    <w:rsid w:val="00775B4B"/>
    <w:rsid w:val="007C17B0"/>
    <w:rsid w:val="00866AC1"/>
    <w:rsid w:val="008A6ED7"/>
    <w:rsid w:val="00964868"/>
    <w:rsid w:val="009762A3"/>
    <w:rsid w:val="009B4FD3"/>
    <w:rsid w:val="00B376D6"/>
    <w:rsid w:val="00B51116"/>
    <w:rsid w:val="00B80255"/>
    <w:rsid w:val="00BB0584"/>
    <w:rsid w:val="00BB2655"/>
    <w:rsid w:val="00BB76CB"/>
    <w:rsid w:val="00BC1951"/>
    <w:rsid w:val="00C05708"/>
    <w:rsid w:val="00C05806"/>
    <w:rsid w:val="00C10972"/>
    <w:rsid w:val="00C46993"/>
    <w:rsid w:val="00C502E8"/>
    <w:rsid w:val="00C64212"/>
    <w:rsid w:val="00C70BF4"/>
    <w:rsid w:val="00CD157F"/>
    <w:rsid w:val="00CE3AB0"/>
    <w:rsid w:val="00D034D2"/>
    <w:rsid w:val="00D07DBA"/>
    <w:rsid w:val="00D163C2"/>
    <w:rsid w:val="00D60CFE"/>
    <w:rsid w:val="00E11341"/>
    <w:rsid w:val="00E74D78"/>
    <w:rsid w:val="00F31C34"/>
    <w:rsid w:val="00F91973"/>
    <w:rsid w:val="00FB482B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10159-424F-44FE-9AEB-A185B5A4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7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casalena@aslteram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iela.casalena@asltera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o.santarelli@aslteram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o.santarelli@aslteram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0C3D-FE7C-499C-B566-BC5E91D0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Di Berardo Fausta</cp:lastModifiedBy>
  <cp:revision>9</cp:revision>
  <dcterms:created xsi:type="dcterms:W3CDTF">2015-11-18T08:15:00Z</dcterms:created>
  <dcterms:modified xsi:type="dcterms:W3CDTF">2015-12-30T09:29:00Z</dcterms:modified>
</cp:coreProperties>
</file>